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1F2" w:rsidRDefault="00696349" w:rsidP="00696349">
      <w:pPr>
        <w:pStyle w:val="11"/>
        <w:rPr>
          <w:lang w:val="ru-RU"/>
        </w:rPr>
      </w:pPr>
      <w:r>
        <w:rPr>
          <w:lang w:val="ru-RU"/>
        </w:rPr>
        <w:t xml:space="preserve">Назва </w:t>
      </w:r>
      <w:r w:rsidR="00CA0AB5">
        <w:rPr>
          <w:lang w:val="ru-RU"/>
        </w:rPr>
        <w:t>роботи</w:t>
      </w:r>
    </w:p>
    <w:p w:rsidR="00696349" w:rsidRPr="00CA0AB5" w:rsidRDefault="00CA0AB5" w:rsidP="00696349">
      <w:pPr>
        <w:pStyle w:val="21"/>
        <w:rPr>
          <w:lang w:val="uk-UA"/>
        </w:rPr>
      </w:pPr>
      <w:r>
        <w:rPr>
          <w:lang w:val="uk-UA"/>
        </w:rPr>
        <w:t>Назва розділу</w:t>
      </w:r>
    </w:p>
    <w:p w:rsidR="00696349" w:rsidRDefault="00CA0AB5" w:rsidP="00696349">
      <w:pPr>
        <w:pStyle w:val="a3"/>
        <w:rPr>
          <w:lang w:val="ru-RU"/>
        </w:rPr>
      </w:pPr>
      <w:proofErr w:type="spellStart"/>
      <w:r>
        <w:rPr>
          <w:lang w:val="ru-RU"/>
        </w:rPr>
        <w:t>Назва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підрозділу</w:t>
      </w:r>
      <w:proofErr w:type="spellEnd"/>
    </w:p>
    <w:p w:rsidR="00696349" w:rsidRDefault="00CA0AB5" w:rsidP="00696349">
      <w:pPr>
        <w:pStyle w:val="a4"/>
      </w:pPr>
      <w:bookmarkStart w:id="0" w:name="_GoBack"/>
      <w:proofErr w:type="spellStart"/>
      <w:r>
        <w:t>Основн</w:t>
      </w:r>
      <w:proofErr w:type="spellEnd"/>
      <w:r>
        <w:rPr>
          <w:lang w:val="uk-UA"/>
        </w:rPr>
        <w:t>и</w:t>
      </w:r>
      <w:r>
        <w:t xml:space="preserve">й </w:t>
      </w:r>
      <w:r w:rsidR="00696349">
        <w:t>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  <w:proofErr w:type="spellStart"/>
      <w:r>
        <w:t>Основний</w:t>
      </w:r>
      <w:proofErr w:type="spellEnd"/>
      <w:r>
        <w:t xml:space="preserve"> текст</w:t>
      </w:r>
      <w:r w:rsidRPr="00CA0AB5">
        <w:t xml:space="preserve"> </w:t>
      </w:r>
    </w:p>
    <w:bookmarkEnd w:id="0"/>
    <w:p w:rsidR="00CA0AB5" w:rsidRPr="00CA0AB5" w:rsidRDefault="00CA0AB5" w:rsidP="00CA0AB5">
      <w:pPr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 w:rsidRPr="00CA0AB5">
        <w:rPr>
          <w:rFonts w:ascii="Times New Roman" w:hAnsi="Times New Roman" w:cs="Times New Roman"/>
          <w:sz w:val="28"/>
          <w:szCs w:val="28"/>
        </w:rPr>
        <w:t xml:space="preserve">Таблиця 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A0AB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риклад таблиці з підписом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577"/>
        <w:gridCol w:w="1821"/>
        <w:gridCol w:w="1417"/>
        <w:gridCol w:w="4812"/>
      </w:tblGrid>
      <w:tr w:rsidR="00CA0AB5" w:rsidRPr="00CA0AB5" w:rsidTr="00097B7C">
        <w:tc>
          <w:tcPr>
            <w:tcW w:w="819" w:type="pct"/>
            <w:vAlign w:val="center"/>
          </w:tcPr>
          <w:p w:rsidR="00CA0AB5" w:rsidRPr="00CA0AB5" w:rsidRDefault="00CA0AB5" w:rsidP="00097B7C">
            <w:pPr>
              <w:jc w:val="center"/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</w:rPr>
              <w:t>Назва</w:t>
            </w:r>
          </w:p>
        </w:tc>
        <w:tc>
          <w:tcPr>
            <w:tcW w:w="946" w:type="pct"/>
            <w:vAlign w:val="center"/>
          </w:tcPr>
          <w:p w:rsidR="00CA0AB5" w:rsidRPr="00CA0AB5" w:rsidRDefault="00CA0AB5" w:rsidP="00097B7C">
            <w:pPr>
              <w:jc w:val="center"/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</w:rPr>
              <w:t>Модифікатор доступу</w:t>
            </w:r>
          </w:p>
        </w:tc>
        <w:tc>
          <w:tcPr>
            <w:tcW w:w="736" w:type="pct"/>
            <w:vAlign w:val="center"/>
          </w:tcPr>
          <w:p w:rsidR="00CA0AB5" w:rsidRPr="00CA0AB5" w:rsidRDefault="00CA0AB5" w:rsidP="00097B7C">
            <w:pPr>
              <w:jc w:val="center"/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</w:rPr>
              <w:t>Тип</w:t>
            </w:r>
          </w:p>
        </w:tc>
        <w:tc>
          <w:tcPr>
            <w:tcW w:w="2499" w:type="pct"/>
            <w:vAlign w:val="center"/>
          </w:tcPr>
          <w:p w:rsidR="00CA0AB5" w:rsidRPr="00CA0AB5" w:rsidRDefault="00CA0AB5" w:rsidP="00097B7C">
            <w:pPr>
              <w:jc w:val="center"/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</w:rPr>
              <w:t>Призначення</w:t>
            </w:r>
          </w:p>
        </w:tc>
      </w:tr>
      <w:tr w:rsidR="00CA0AB5" w:rsidRPr="00CA0AB5" w:rsidTr="00097B7C">
        <w:tc>
          <w:tcPr>
            <w:tcW w:w="819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proofErr w:type="spellStart"/>
            <w:r w:rsidRPr="00CA0AB5">
              <w:rPr>
                <w:sz w:val="28"/>
                <w:szCs w:val="28"/>
                <w:lang w:eastAsia="uk-UA"/>
              </w:rPr>
              <w:t>playerSquadInstance</w:t>
            </w:r>
            <w:proofErr w:type="spellEnd"/>
          </w:p>
        </w:tc>
        <w:tc>
          <w:tcPr>
            <w:tcW w:w="946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  <w:lang w:eastAsia="uk-UA"/>
              </w:rPr>
              <w:t>публічний</w:t>
            </w:r>
          </w:p>
        </w:tc>
        <w:tc>
          <w:tcPr>
            <w:tcW w:w="736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proofErr w:type="spellStart"/>
            <w:r w:rsidRPr="00CA0AB5">
              <w:rPr>
                <w:sz w:val="28"/>
                <w:szCs w:val="28"/>
                <w:lang w:eastAsia="uk-UA"/>
              </w:rPr>
              <w:t>Squad</w:t>
            </w:r>
            <w:proofErr w:type="spellEnd"/>
          </w:p>
        </w:tc>
        <w:tc>
          <w:tcPr>
            <w:tcW w:w="2499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</w:rPr>
              <w:t>Статичне поле доступу до об’єкта загону гравця</w:t>
            </w:r>
          </w:p>
        </w:tc>
      </w:tr>
      <w:tr w:rsidR="00CA0AB5" w:rsidRPr="00CA0AB5" w:rsidTr="00097B7C">
        <w:tc>
          <w:tcPr>
            <w:tcW w:w="819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proofErr w:type="spellStart"/>
            <w:r w:rsidRPr="00CA0AB5">
              <w:rPr>
                <w:sz w:val="28"/>
                <w:szCs w:val="28"/>
                <w:lang w:eastAsia="uk-UA"/>
              </w:rPr>
              <w:t>minimapMark</w:t>
            </w:r>
            <w:proofErr w:type="spellEnd"/>
          </w:p>
        </w:tc>
        <w:tc>
          <w:tcPr>
            <w:tcW w:w="946" w:type="pct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</w:rPr>
              <w:t>приватний</w:t>
            </w:r>
          </w:p>
        </w:tc>
        <w:tc>
          <w:tcPr>
            <w:tcW w:w="736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proofErr w:type="spellStart"/>
            <w:r w:rsidRPr="00CA0AB5">
              <w:rPr>
                <w:sz w:val="28"/>
                <w:szCs w:val="28"/>
                <w:lang w:eastAsia="uk-UA"/>
              </w:rPr>
              <w:t>Transform</w:t>
            </w:r>
            <w:proofErr w:type="spellEnd"/>
          </w:p>
        </w:tc>
        <w:tc>
          <w:tcPr>
            <w:tcW w:w="2499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</w:rPr>
              <w:t>Об’єкт, який рухається за загоном і являє собою значок на міні-карті</w:t>
            </w:r>
          </w:p>
        </w:tc>
      </w:tr>
      <w:tr w:rsidR="00CA0AB5" w:rsidRPr="00CA0AB5" w:rsidTr="00097B7C">
        <w:tc>
          <w:tcPr>
            <w:tcW w:w="819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CA0AB5">
              <w:rPr>
                <w:sz w:val="28"/>
                <w:szCs w:val="28"/>
                <w:lang w:eastAsia="uk-UA"/>
              </w:rPr>
              <w:t>unitOrginal</w:t>
            </w:r>
            <w:proofErr w:type="spellEnd"/>
          </w:p>
        </w:tc>
        <w:tc>
          <w:tcPr>
            <w:tcW w:w="946" w:type="pct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</w:rPr>
              <w:t>приватний</w:t>
            </w:r>
          </w:p>
        </w:tc>
        <w:tc>
          <w:tcPr>
            <w:tcW w:w="736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CA0AB5">
              <w:rPr>
                <w:sz w:val="28"/>
                <w:szCs w:val="28"/>
                <w:lang w:eastAsia="uk-UA"/>
              </w:rPr>
              <w:t>Unit</w:t>
            </w:r>
            <w:proofErr w:type="spellEnd"/>
          </w:p>
        </w:tc>
        <w:tc>
          <w:tcPr>
            <w:tcW w:w="2499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</w:rPr>
              <w:t>Об’єкт бойової одиниці для копіювання.</w:t>
            </w:r>
          </w:p>
        </w:tc>
      </w:tr>
      <w:tr w:rsidR="00CA0AB5" w:rsidRPr="00CA0AB5" w:rsidTr="00097B7C">
        <w:tc>
          <w:tcPr>
            <w:tcW w:w="819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CA0AB5">
              <w:rPr>
                <w:sz w:val="28"/>
                <w:szCs w:val="28"/>
                <w:lang w:eastAsia="uk-UA"/>
              </w:rPr>
              <w:t>unitStats</w:t>
            </w:r>
            <w:proofErr w:type="spellEnd"/>
          </w:p>
        </w:tc>
        <w:tc>
          <w:tcPr>
            <w:tcW w:w="946" w:type="pct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</w:rPr>
              <w:t>приватний</w:t>
            </w:r>
          </w:p>
        </w:tc>
        <w:tc>
          <w:tcPr>
            <w:tcW w:w="736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CA0AB5">
              <w:rPr>
                <w:sz w:val="28"/>
                <w:szCs w:val="28"/>
                <w:lang w:eastAsia="uk-UA"/>
              </w:rPr>
              <w:t>UnitStats</w:t>
            </w:r>
            <w:proofErr w:type="spellEnd"/>
          </w:p>
        </w:tc>
        <w:tc>
          <w:tcPr>
            <w:tcW w:w="2499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</w:rPr>
              <w:t>Базові характеристики загону</w:t>
            </w:r>
          </w:p>
        </w:tc>
      </w:tr>
      <w:tr w:rsidR="00CA0AB5" w:rsidRPr="00CA0AB5" w:rsidTr="00097B7C">
        <w:tc>
          <w:tcPr>
            <w:tcW w:w="819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CA0AB5">
              <w:rPr>
                <w:sz w:val="28"/>
                <w:szCs w:val="28"/>
                <w:lang w:eastAsia="uk-UA"/>
              </w:rPr>
              <w:t>fullSquadUnitCount</w:t>
            </w:r>
            <w:proofErr w:type="spellEnd"/>
          </w:p>
        </w:tc>
        <w:tc>
          <w:tcPr>
            <w:tcW w:w="946" w:type="pct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</w:rPr>
              <w:t>приватний</w:t>
            </w:r>
          </w:p>
        </w:tc>
        <w:tc>
          <w:tcPr>
            <w:tcW w:w="736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CA0AB5">
              <w:rPr>
                <w:sz w:val="28"/>
                <w:szCs w:val="28"/>
                <w:lang w:eastAsia="uk-UA"/>
              </w:rPr>
              <w:t>int</w:t>
            </w:r>
            <w:proofErr w:type="spellEnd"/>
          </w:p>
        </w:tc>
        <w:tc>
          <w:tcPr>
            <w:tcW w:w="2499" w:type="pct"/>
            <w:vAlign w:val="center"/>
          </w:tcPr>
          <w:p w:rsidR="00CA0AB5" w:rsidRPr="00CA0AB5" w:rsidRDefault="00CA0AB5" w:rsidP="00097B7C">
            <w:pPr>
              <w:rPr>
                <w:sz w:val="28"/>
                <w:szCs w:val="28"/>
              </w:rPr>
            </w:pPr>
            <w:r w:rsidRPr="00CA0AB5">
              <w:rPr>
                <w:sz w:val="28"/>
                <w:szCs w:val="28"/>
              </w:rPr>
              <w:t>Максимальна допустима кількість бойових одиниць в даному загоні</w:t>
            </w:r>
          </w:p>
        </w:tc>
      </w:tr>
    </w:tbl>
    <w:p w:rsidR="00CA0AB5" w:rsidRPr="00DA55CE" w:rsidRDefault="00CA0AB5" w:rsidP="00CA0AB5">
      <w:pPr>
        <w:tabs>
          <w:tab w:val="num" w:pos="-1134"/>
        </w:tabs>
        <w:spacing w:before="280" w:after="240" w:line="240" w:lineRule="auto"/>
        <w:jc w:val="center"/>
      </w:pPr>
      <w:r w:rsidRPr="00843347">
        <w:rPr>
          <w:noProof/>
          <w:lang w:val="ru-RU"/>
        </w:rPr>
        <w:drawing>
          <wp:inline distT="0" distB="0" distL="0" distR="0" wp14:anchorId="221D3CAB" wp14:editId="56AD38B2">
            <wp:extent cx="4884948" cy="2381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43" cy="238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AB5" w:rsidRPr="00CA0AB5" w:rsidRDefault="00CA0AB5" w:rsidP="00CA0A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AB5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A0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A0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Приклад рисунка і підпису</w:t>
      </w:r>
    </w:p>
    <w:sectPr w:rsidR="00CA0AB5" w:rsidRPr="00CA0AB5" w:rsidSect="006963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49"/>
    <w:rsid w:val="000801F2"/>
    <w:rsid w:val="00137DA1"/>
    <w:rsid w:val="001500E8"/>
    <w:rsid w:val="00187032"/>
    <w:rsid w:val="00374BEC"/>
    <w:rsid w:val="004F423C"/>
    <w:rsid w:val="00696349"/>
    <w:rsid w:val="00CA0AB5"/>
    <w:rsid w:val="00E4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6B73E-F207-4D42-8220-164766AE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963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3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Диплом Заголовок 1"/>
    <w:basedOn w:val="1"/>
    <w:qFormat/>
    <w:rsid w:val="00696349"/>
    <w:pPr>
      <w:pageBreakBefore/>
      <w:spacing w:before="0" w:after="300" w:line="240" w:lineRule="auto"/>
      <w:jc w:val="center"/>
    </w:pPr>
    <w:rPr>
      <w:rFonts w:ascii="Times New Roman" w:hAnsi="Times New Roman"/>
      <w:caps/>
      <w:color w:val="auto"/>
      <w:sz w:val="28"/>
    </w:rPr>
  </w:style>
  <w:style w:type="paragraph" w:customStyle="1" w:styleId="21">
    <w:name w:val="Диплом Заголовок2"/>
    <w:basedOn w:val="2"/>
    <w:qFormat/>
    <w:rsid w:val="00696349"/>
    <w:pPr>
      <w:spacing w:before="300" w:after="300" w:line="240" w:lineRule="auto"/>
      <w:ind w:firstLine="567"/>
    </w:pPr>
    <w:rPr>
      <w:rFonts w:ascii="Times New Roman" w:hAnsi="Times New Roman"/>
      <w:b/>
      <w:color w:val="auto"/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963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customStyle="1" w:styleId="a3">
    <w:name w:val="Диплом подпараграф"/>
    <w:basedOn w:val="3"/>
    <w:qFormat/>
    <w:rsid w:val="00696349"/>
    <w:pPr>
      <w:spacing w:before="300" w:after="300" w:line="240" w:lineRule="auto"/>
      <w:ind w:firstLine="567"/>
    </w:pPr>
    <w:rPr>
      <w:rFonts w:ascii="Times New Roman" w:hAnsi="Times New Roman"/>
      <w:b/>
      <w:color w:val="auto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63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paragraph" w:customStyle="1" w:styleId="a4">
    <w:name w:val="Диплом основной текст"/>
    <w:basedOn w:val="a"/>
    <w:qFormat/>
    <w:rsid w:val="00696349"/>
    <w:pPr>
      <w:spacing w:after="0" w:line="240" w:lineRule="auto"/>
      <w:ind w:firstLine="567"/>
      <w:jc w:val="both"/>
    </w:pPr>
    <w:rPr>
      <w:rFonts w:ascii="Times New Roman" w:hAnsi="Times New Roman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963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5">
    <w:name w:val="Table Grid"/>
    <w:basedOn w:val="a1"/>
    <w:uiPriority w:val="59"/>
    <w:rsid w:val="00CA0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Мама</cp:lastModifiedBy>
  <cp:revision>2</cp:revision>
  <dcterms:created xsi:type="dcterms:W3CDTF">2022-02-06T15:33:00Z</dcterms:created>
  <dcterms:modified xsi:type="dcterms:W3CDTF">2022-02-06T15:33:00Z</dcterms:modified>
</cp:coreProperties>
</file>