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Структура супутникових навігаційних систем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Вимоги до супутникових навігаційних систем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Загальна структура супутникових систем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Космічний сегмент</w:t>
      </w:r>
      <w:bookmarkStart w:id="0" w:name="_GoBack"/>
      <w:bookmarkEnd w:id="0"/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Наземний сегмент контролю та управління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Навігаційна апаратура споживачів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Взаємодія сегментів супутникової навігаційної системи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Шкали часу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Одиниці мір часу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Системи відліку часу, що використовуються в СНР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Шкали часу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Синхронізація шкал часу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Рух навігаційних супутників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Системи координат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Необурене рух супутника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Обурений рух супутника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Обурення орбіти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Джерела похибок навігаційних вимірів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Похибки формування бортової шкали часу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 xml:space="preserve">Похибки </w:t>
      </w: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частотно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>-часового забезпечення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Похибки ефемеридного забезпечення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Похибки, що вносяться на трасі навігаційний супутник-споживач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Тропосферні похибки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Іоносферні похибки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Похибки через багатопроменеві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Похибки приймальної апаратури споживача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Способи зменшення похибок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Методи навігації споживача з використанням супутникових систем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Методи навігаційних визначень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Загальні визначення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Дальномірний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Псевдодалекомірний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Різносто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>-далекомірний метод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Доплерівський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Псевдодоплерівський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Різносто-доплерівський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Комбіновані методи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Визначення орієнтації за допомогою супутникових систем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Навігаційні алгоритми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Математична постановка задачі супутникової навігації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 xml:space="preserve">Навігаційний алгоритм на основі </w:t>
      </w: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одномоментних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 xml:space="preserve"> вимірів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Навігаційний алгоритм на основі вимірів наростаючого обсягу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Навігаційний алгоритм на основі далекомірних та фазових вимірювань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Геометричний фактор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Супутникова навігаційна система GPS (</w:t>
      </w: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NavStar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>) Загальні відомості.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lastRenderedPageBreak/>
        <w:t>Орбітальне угрупування системи GPS (</w:t>
      </w: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NavStar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Наземний сегмент системи GPS (</w:t>
      </w: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NavStar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Ефемеридне забезпечення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Частотно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>-тимчасове забезпечення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Радіосигнали в системі GPS (</w:t>
      </w: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NavStar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Навігаційні повідомлення.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Контроль цілісності СНР GPS (</w:t>
      </w: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NavStar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Приклад позиціонування за допомогою GPS (</w:t>
      </w: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NavStar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Спільне використання навігаційних систем ГЛОНАСС та GPS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Історія створення системи GPS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Структура та склад системи G.PS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Особливості спільного застосування систем ГЛОНАСС та GPS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Диференціальний режим роботи супутникових навігаційних систем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Сутність диференціального режиму.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Типи диференціальних підсистем.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Контрольно-</w:t>
      </w: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коректуючі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 xml:space="preserve"> станції диференціальних підсистем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Різновиди диференціального режиму.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5797">
        <w:rPr>
          <w:rFonts w:ascii="Times New Roman" w:hAnsi="Times New Roman" w:cs="Times New Roman"/>
          <w:sz w:val="28"/>
          <w:szCs w:val="28"/>
          <w:lang w:val="uk-UA"/>
        </w:rPr>
        <w:t>Широкозонні</w:t>
      </w:r>
      <w:proofErr w:type="spellEnd"/>
      <w:r w:rsidRPr="00AC5797">
        <w:rPr>
          <w:rFonts w:ascii="Times New Roman" w:hAnsi="Times New Roman" w:cs="Times New Roman"/>
          <w:sz w:val="28"/>
          <w:szCs w:val="28"/>
          <w:lang w:val="uk-UA"/>
        </w:rPr>
        <w:t xml:space="preserve"> диференціальні підсистеми.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Приклад застосування WAAS-технологій.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GPS/WAAS навігація в режимі точної посадки</w:t>
      </w:r>
    </w:p>
    <w:p w:rsidR="00AC5797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Застосування GPS/WAAS навігації у польотах.</w:t>
      </w:r>
    </w:p>
    <w:p w:rsidR="006C7886" w:rsidRPr="00AC5797" w:rsidRDefault="00AC5797" w:rsidP="00AC57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797">
        <w:rPr>
          <w:rFonts w:ascii="Times New Roman" w:hAnsi="Times New Roman" w:cs="Times New Roman"/>
          <w:sz w:val="28"/>
          <w:szCs w:val="28"/>
          <w:lang w:val="uk-UA"/>
        </w:rPr>
        <w:t>Перспективи розвитку GPS</w:t>
      </w:r>
    </w:p>
    <w:sectPr w:rsidR="006C7886" w:rsidRPr="00AC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97"/>
    <w:rsid w:val="006C7886"/>
    <w:rsid w:val="00AC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C6B68-36EE-4748-B43B-C0630C89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2022-04-04T07:40:00Z</dcterms:created>
  <dcterms:modified xsi:type="dcterms:W3CDTF">2022-04-04T07:41:00Z</dcterms:modified>
</cp:coreProperties>
</file>